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0"/>
        <w:jc w:val="left"/>
      </w:pPr>
      <w:r>
        <w:rPr>
          <w:rFonts w:ascii="IBM Plex Sans" w:hAnsi="IBM Plex Sans" w:cs="IBM Plex Sans"/>
          <w:b w:val="0"/>
          <w:color w:val="1D1F22"/>
          <w:sz w:val="22"/>
          <w:lang w:val="en-GB" w:bidi="ar-SA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2608" w:right="1247" w:bottom="1304" w:left="1247" w:header="794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BM Plex Sans">
    <w:embedRegular r:id="rIdBrandFont0" w:fontKey="{D5A6ED86-015C-4A7A-8C71-7FE2E2A9F7FD}"/>
    <w:embedBold r:id="rIdBrandFont1" w:fontKey="{505D4E24-6732-49A2-9DA2-61E56803D500}"/>
  </w:font>
  <w:font w:name="IBM Plex Sans Arabic">
    <w:embedRegular r:id="rIdBrandFont2" w:fontKey="{6002C81F-E6F4-46C3-A8E7-86E360FE5409}"/>
    <w:embedBold r:id="rIdBrandFont3" w:fontKey="{A582C85F-3A9D-4864-8FD3-B58458568336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20"/>
      <w:jc w:val="center"/>
      <w:pBdr>
        <w:top w:val="single" w:sz="7" w:color="F2A024" w:space="10"/>
      </w:pBdr>
    </w:pPr>
    <w:r>
      <w:rPr>
        <w:rFonts w:ascii="IBM Plex Sans" w:hAnsi="IBM Plex Sans" w:cs="IBM Plex Sans"/>
        <w:b w:val="0"/>
        <w:color w:val="646A73"/>
        <w:sz w:val="16"/>
        <w:lang w:val="en-GB" w:bidi="ar-SA"/>
      </w:rPr>
      <w:t>ALWAZEN INDUSTRIES  |  alwazen.com</w:t>
    </w:r>
  </w:p>
  <w:p>
    <w:pPr>
      <w:bidi w:val="0"/>
      <w:jc w:val="center"/>
    </w:pPr>
    <w:r>
      <w:rPr>
        <w:rFonts w:ascii="IBM Plex Sans" w:hAnsi="IBM Plex Sans" w:cs="IBM Plex Sans"/>
        <w:b w:val="0"/>
        <w:color w:val="646A73"/>
        <w:sz w:val="16"/>
        <w:lang w:val="en-GB" w:bidi="ar-SA"/>
      </w:rPr>
      <w:t>Saudi Arabia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0"/>
      <w:spacing w:after="40"/>
      <w:jc w:val="left"/>
    </w:pPr>
    <w:r>
      <w:drawing>
        <wp:inline xmlns:a="http://schemas.openxmlformats.org/drawingml/2006/main" xmlns:pic="http://schemas.openxmlformats.org/drawingml/2006/picture">
          <wp:extent cx="1584000" cy="739406"/>
          <wp:docPr id="1" name="Picture 1" descr="ALWAZEN INDUSTRI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imary-light-204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739406"/>
                  </a:xfrm>
                  <a:prstGeom prst="rect"/>
                </pic:spPr>
              </pic:pic>
            </a:graphicData>
          </a:graphic>
        </wp:inline>
      </w:drawing>
    </w:r>
  </w:p>
  <w:p>
    <w:pPr>
      <w:bidi w:val="0"/>
      <w:jc w:val="left"/>
    </w:pPr>
    <w:r>
      <w:rPr>
        <w:rFonts w:ascii="IBM Plex Sans" w:hAnsi="IBM Plex Sans" w:cs="IBM Plex Sans"/>
        <w:b w:val="0"/>
        <w:color w:val="646A73"/>
        <w:sz w:val="16"/>
        <w:lang w:val="en-GB" w:bidi="ar-SA"/>
      </w:rPr>
      <w:t>Industrial services and dynamic balancing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IBM Plex Sans" w:hAnsi="IBM Plex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IBM Plex Sans" w:hAnsi="IBM Plex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IBM Plex Sans" w:hAnsi="IBM Plex Sans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BrandFont0" Type="http://schemas.openxmlformats.org/officeDocument/2006/relationships/font" Target="fonts/brand-0.odttf"/><Relationship Id="rIdBrandFont1" Type="http://schemas.openxmlformats.org/officeDocument/2006/relationships/font" Target="fonts/brand-1.odttf"/><Relationship Id="rIdBrandFont2" Type="http://schemas.openxmlformats.org/officeDocument/2006/relationships/font" Target="fonts/brand-2.odttf"/><Relationship Id="rIdBrandFont3" Type="http://schemas.openxmlformats.org/officeDocument/2006/relationships/font" Target="fonts/brand-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ALWAZEN INDUSTRIES Letterhead</dc:title>
  <dc:subject>Industrial services and dynamic balancing</dc:subject>
  <dc:creator>ALWAZEN INDUSTRIES</dc:creator>
  <cp:keywords>ALWAZEN, corporate template</cp:keywords>
  <dc:description/>
  <cp:lastModifiedBy>ALWAZEN INDUSTRIES</cp:lastModifiedBy>
  <cp:revision>1</cp:revision>
  <dcterms:created xsi:type="dcterms:W3CDTF">2013-12-23T23:15:00Z</dcterms:created>
  <dcterms:modified xsi:type="dcterms:W3CDTF">2013-12-23T23:15:00Z</dcterms:modified>
  <cp:category/>
</cp:coreProperties>
</file>